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A6" w:rsidRPr="00057FA6" w:rsidRDefault="00057FA6" w:rsidP="00057FA6">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uk-UA"/>
        </w:rPr>
      </w:pPr>
      <w:r w:rsidRPr="00057FA6">
        <w:rPr>
          <w:rFonts w:ascii="Times New Roman" w:eastAsia="Times New Roman" w:hAnsi="Times New Roman" w:cs="Times New Roman"/>
          <w:b/>
          <w:bCs/>
          <w:kern w:val="36"/>
          <w:sz w:val="24"/>
          <w:szCs w:val="24"/>
          <w:lang w:eastAsia="uk-UA"/>
        </w:rPr>
        <w:t xml:space="preserve">Платникам єдиного податку (другої/третьої груп) про заповнення додатка 2 до податкової декларації платника єдиного податку – </w:t>
      </w:r>
      <w:proofErr w:type="spellStart"/>
      <w:r w:rsidRPr="00057FA6">
        <w:rPr>
          <w:rFonts w:ascii="Times New Roman" w:eastAsia="Times New Roman" w:hAnsi="Times New Roman" w:cs="Times New Roman"/>
          <w:b/>
          <w:bCs/>
          <w:kern w:val="36"/>
          <w:sz w:val="24"/>
          <w:szCs w:val="24"/>
          <w:lang w:eastAsia="uk-UA"/>
        </w:rPr>
        <w:t>ФОП</w:t>
      </w:r>
      <w:proofErr w:type="spellEnd"/>
      <w:r w:rsidRPr="00057FA6">
        <w:rPr>
          <w:rFonts w:ascii="Times New Roman" w:eastAsia="Times New Roman" w:hAnsi="Times New Roman" w:cs="Times New Roman"/>
          <w:b/>
          <w:bCs/>
          <w:kern w:val="36"/>
          <w:sz w:val="24"/>
          <w:szCs w:val="24"/>
          <w:lang w:eastAsia="uk-UA"/>
        </w:rPr>
        <w:t xml:space="preserve"> за певних умов</w:t>
      </w:r>
    </w:p>
    <w:p w:rsidR="00057FA6" w:rsidRDefault="00057FA6" w:rsidP="00057FA6">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anchor distT="0" distB="0" distL="114300" distR="114300" simplePos="0" relativeHeight="251658240" behindDoc="0" locked="0" layoutInCell="1" allowOverlap="1">
            <wp:simplePos x="914400" y="1066800"/>
            <wp:positionH relativeFrom="column">
              <wp:align>left</wp:align>
            </wp:positionH>
            <wp:positionV relativeFrom="paragraph">
              <wp:align>top</wp:align>
            </wp:positionV>
            <wp:extent cx="1038225" cy="638175"/>
            <wp:effectExtent l="19050" t="0" r="9525" b="0"/>
            <wp:wrapSquare wrapText="bothSides"/>
            <wp:docPr id="1" name="Рисунок 1" descr="https://dp.tax.gov.ua/data/material/000/784/916709/687e01ff16f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p.tax.gov.ua/data/material/000/784/916709/687e01ff16fd6.jpg"/>
                    <pic:cNvPicPr>
                      <a:picLocks noChangeAspect="1" noChangeArrowheads="1"/>
                    </pic:cNvPicPr>
                  </pic:nvPicPr>
                  <pic:blipFill>
                    <a:blip r:embed="rId4" cstate="print"/>
                    <a:srcRect/>
                    <a:stretch>
                      <a:fillRect/>
                    </a:stretch>
                  </pic:blipFill>
                  <pic:spPr bwMode="auto">
                    <a:xfrm>
                      <a:off x="0" y="0"/>
                      <a:ext cx="1038225" cy="638175"/>
                    </a:xfrm>
                    <a:prstGeom prst="rect">
                      <a:avLst/>
                    </a:prstGeom>
                    <a:noFill/>
                    <a:ln w="9525">
                      <a:noFill/>
                      <a:miter lim="800000"/>
                      <a:headEnd/>
                      <a:tailEnd/>
                    </a:ln>
                  </pic:spPr>
                </pic:pic>
              </a:graphicData>
            </a:graphic>
          </wp:anchor>
        </w:drawing>
      </w:r>
    </w:p>
    <w:p w:rsidR="00057FA6" w:rsidRPr="00057FA6" w:rsidRDefault="00057FA6" w:rsidP="00057FA6">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057FA6" w:rsidRPr="00057FA6" w:rsidRDefault="00057FA6" w:rsidP="00057FA6">
      <w:pPr>
        <w:spacing w:after="0"/>
        <w:ind w:firstLine="567"/>
        <w:jc w:val="both"/>
        <w:rPr>
          <w:rFonts w:ascii="Times New Roman" w:hAnsi="Times New Roman" w:cs="Times New Roman"/>
          <w:sz w:val="24"/>
          <w:szCs w:val="24"/>
        </w:rPr>
      </w:pPr>
      <w:r w:rsidRPr="00B84BFC">
        <w:rPr>
          <w:rFonts w:ascii="Times New Roman" w:hAnsi="Times New Roman" w:cs="Times New Roman"/>
          <w:sz w:val="24"/>
          <w:szCs w:val="24"/>
        </w:rPr>
        <w:t xml:space="preserve">Відділ комунікацій з громадськістю управління інформаційної взаємодії Головного управління ДПС у Дніпропетровській області  (територія обслуговування – </w:t>
      </w:r>
      <w:proofErr w:type="spellStart"/>
      <w:r w:rsidR="007F27DE">
        <w:rPr>
          <w:rFonts w:ascii="Times New Roman" w:hAnsi="Times New Roman" w:cs="Times New Roman"/>
          <w:sz w:val="24"/>
          <w:szCs w:val="24"/>
        </w:rPr>
        <w:t>Синельниківський</w:t>
      </w:r>
      <w:proofErr w:type="spellEnd"/>
      <w:r w:rsidR="007F27DE">
        <w:rPr>
          <w:rFonts w:ascii="Times New Roman" w:hAnsi="Times New Roman" w:cs="Times New Roman"/>
          <w:sz w:val="24"/>
          <w:szCs w:val="24"/>
        </w:rPr>
        <w:t xml:space="preserve"> </w:t>
      </w:r>
      <w:r>
        <w:rPr>
          <w:rFonts w:ascii="Times New Roman" w:hAnsi="Times New Roman" w:cs="Times New Roman"/>
          <w:sz w:val="24"/>
          <w:szCs w:val="24"/>
        </w:rPr>
        <w:t xml:space="preserve">район) </w:t>
      </w:r>
      <w:r w:rsidRPr="00057FA6">
        <w:rPr>
          <w:rFonts w:ascii="Times New Roman" w:eastAsia="Times New Roman" w:hAnsi="Times New Roman" w:cs="Times New Roman"/>
          <w:sz w:val="24"/>
          <w:szCs w:val="24"/>
          <w:lang w:eastAsia="uk-UA"/>
        </w:rPr>
        <w:t xml:space="preserve">повідомляє про особливості заповнення граф 7 – 12 додатка 2 до податкової декларації платника ЄП – </w:t>
      </w:r>
      <w:proofErr w:type="spellStart"/>
      <w:r w:rsidRPr="00057FA6">
        <w:rPr>
          <w:rFonts w:ascii="Times New Roman" w:eastAsia="Times New Roman" w:hAnsi="Times New Roman" w:cs="Times New Roman"/>
          <w:sz w:val="24"/>
          <w:szCs w:val="24"/>
          <w:lang w:eastAsia="uk-UA"/>
        </w:rPr>
        <w:t>ФОП</w:t>
      </w:r>
      <w:proofErr w:type="spellEnd"/>
      <w:r w:rsidRPr="00057FA6">
        <w:rPr>
          <w:rFonts w:ascii="Times New Roman" w:eastAsia="Times New Roman" w:hAnsi="Times New Roman" w:cs="Times New Roman"/>
          <w:sz w:val="24"/>
          <w:szCs w:val="24"/>
          <w:lang w:eastAsia="uk-UA"/>
        </w:rPr>
        <w:t xml:space="preserve">, якщо сума мінімального податкового зобов’язання з 1 гектара становить менше суми, визначеної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XX Податкового кодексу України (далі – ПКУ).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Мінімальне податкове зобов’язання (далі – МПЗ) щодо земельної ділянки, нормативна грошова оцінка якої проведена, та МПЗ щодо земельної ділянки, нормативна грошова оцінка якої не проведена, обчислюється за формулами наведеними у ст. 38 прим. 1 «Визначення МПЗ» ПКУ.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Відповідно до абзацу першого п. 297 прим. 1.1 ст. 297 прим. 1 ПКУ, зокрема, платники єдиного податку другої або третьої групи – власники, орендарі, користувачі на інших умовах (в тому числі на умовах емфітевзису) земельних ділянок, віднесених до сільськогосподарських угідь, а також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МПЗ у складі податкової декларації за податковий (звітний) рік.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Водночас,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XX «Перехідні положення» ПКУ встановлено, що при визначенні МПЗ у період з 01 січня 2024 року по 31 грудня року, у якому буде припинено або скасовано воєнний стан, сума МПЗ, визначена відповідно до підпунктів 38 прим. 1.1.1 і 38 прим. 1.1.2 п. 38 прим. 1.1 ст. 38 прим. 1 ПКУ, не може становити менше 700 грн. з 1 гектара, а для земельних ділянок, у площі яких частка ріллі становить не менше 50 </w:t>
      </w:r>
      <w:proofErr w:type="spellStart"/>
      <w:r w:rsidRPr="00057FA6">
        <w:rPr>
          <w:rFonts w:ascii="Times New Roman" w:eastAsia="Times New Roman" w:hAnsi="Times New Roman" w:cs="Times New Roman"/>
          <w:sz w:val="24"/>
          <w:szCs w:val="24"/>
          <w:lang w:eastAsia="uk-UA"/>
        </w:rPr>
        <w:t>відс</w:t>
      </w:r>
      <w:proofErr w:type="spellEnd"/>
      <w:r w:rsidRPr="00057FA6">
        <w:rPr>
          <w:rFonts w:ascii="Times New Roman" w:eastAsia="Times New Roman" w:hAnsi="Times New Roman" w:cs="Times New Roman"/>
          <w:sz w:val="24"/>
          <w:szCs w:val="24"/>
          <w:lang w:eastAsia="uk-UA"/>
        </w:rPr>
        <w:t xml:space="preserve">., – 1400 грн. з 1 гектара.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Дія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ХХ «Перехідні положення» ПКУ не поширюється на земельні ділянки, земельні частки (паї), що розташовані на територіях можливих бойових дій, які включені до Переліку територій, на яких ведуться (велися) бойові дії або тимчасово окупованих російською федерацією (далі – Перелік територій).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Форма податкової декларації платника єдиного податку – фізичної особи – підприємця затверджена наказом Міністерства фінансів України від 19.06.2015 № 578 (в редакції наказу Міністерства фінансів України від 31.01.2025 № 57) (далі – Декларація) та передбачає заповнення додатка 2 «Розрахунок загального мінімального податкового зобов’язання за податковий (звітний) рік» (далі – Додаток 2) з урахуванням положень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XX «Перехідні положення» ПКУ.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В Додатку 2 заповнюються всі рядки та графи усіх розділів з урахуванням приміток. Якщо будь-які графи / рядки Додатка 2 не заповнюється через відсутність показників, то у разі подання Декларації у паперовому вигляді такі графи / рядки прокреслюються, в електронному вигляді – не заповнюються. Вартісні показники Додатка 2 зазначаються у гривнях з двома десятковими знаками.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Зокрема, у графах 3 - 10 Додатка 2 зазначається наступна інформація: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3 – площа власної земельної ділянки в гектарах з чотирма десятковими знаками;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4– частка ріллі власної земельної ділянки у відсотках;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5 – площа орендованої земельної ділянки в гектарах з чотирма десятковими знаками;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6 – частка ріллі орендованої земельної ділянки у відсотках;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lastRenderedPageBreak/>
        <w:t xml:space="preserve">у графі 7 – нормативна грошова оцінка (далі – НГО) відповідної земельної ділянки з урахуванням коефіцієнта індексації, визначеного відповідно до порядку, встановленого ПКУ для справляння плати за землю (для земельної ділянки, НГО якої проведена);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8 – НГО 1 гектара ріллі по Автономній Республіці Крим або по області, з урахуванням коефіцієнта індексації, визначеного відповідно до порядку, встановленого ПКУ для справляння плати за землю (для земельної ділянки, НГО якої не проведена);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9 – коефіцієнт, який становить: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0,05 – за 2024 рік,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0,057 – за 2025 рік та наступні роки, закінчуючи роком, у якому буде припинено або скасовано воєнний стан;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у графі 10 – кількість календарних місяців, протягом яких земельна ділянка перебуває у власності, оренді, користування на інших умовах (в т. ч. на умовах емфітевзису) платника податків.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Якщо за розрахунком платника єдиного податку сума МПЗ з 1 гектара становить менше суми, визначеної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XX ПКУ, то у графі 11 (для земельної ділянки, НГО якої проведена) або 12 (для земельної ділянки, НГО якої не проведена) Додатка 2 зазначається МПЗ земельної ділянки (крім земельних ділянок, земельних часток (паїв), що розташовані на територіях можливих бойових дій, які включені до Переліку територій), обчислене відповідно до положень п. 74 </w:t>
      </w:r>
      <w:proofErr w:type="spellStart"/>
      <w:r w:rsidRPr="00057FA6">
        <w:rPr>
          <w:rFonts w:ascii="Times New Roman" w:eastAsia="Times New Roman" w:hAnsi="Times New Roman" w:cs="Times New Roman"/>
          <w:sz w:val="24"/>
          <w:szCs w:val="24"/>
          <w:lang w:eastAsia="uk-UA"/>
        </w:rPr>
        <w:t>підрозд</w:t>
      </w:r>
      <w:proofErr w:type="spellEnd"/>
      <w:r w:rsidRPr="00057FA6">
        <w:rPr>
          <w:rFonts w:ascii="Times New Roman" w:eastAsia="Times New Roman" w:hAnsi="Times New Roman" w:cs="Times New Roman"/>
          <w:sz w:val="24"/>
          <w:szCs w:val="24"/>
          <w:lang w:eastAsia="uk-UA"/>
        </w:rPr>
        <w:t xml:space="preserve">. 10 </w:t>
      </w:r>
      <w:proofErr w:type="spellStart"/>
      <w:r w:rsidRPr="00057FA6">
        <w:rPr>
          <w:rFonts w:ascii="Times New Roman" w:eastAsia="Times New Roman" w:hAnsi="Times New Roman" w:cs="Times New Roman"/>
          <w:sz w:val="24"/>
          <w:szCs w:val="24"/>
          <w:lang w:eastAsia="uk-UA"/>
        </w:rPr>
        <w:t>розд</w:t>
      </w:r>
      <w:proofErr w:type="spellEnd"/>
      <w:r w:rsidRPr="00057FA6">
        <w:rPr>
          <w:rFonts w:ascii="Times New Roman" w:eastAsia="Times New Roman" w:hAnsi="Times New Roman" w:cs="Times New Roman"/>
          <w:sz w:val="24"/>
          <w:szCs w:val="24"/>
          <w:lang w:eastAsia="uk-UA"/>
        </w:rPr>
        <w:t xml:space="preserve">. XX «Перехідні положення» ПКУ за формулою: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графа 3 або графа 5 х 1400 х графа 10/12 – для земельних ділянок, у площі яких частка ріллі становить не менше 50 </w:t>
      </w:r>
      <w:proofErr w:type="spellStart"/>
      <w:r w:rsidRPr="00057FA6">
        <w:rPr>
          <w:rFonts w:ascii="Times New Roman" w:eastAsia="Times New Roman" w:hAnsi="Times New Roman" w:cs="Times New Roman"/>
          <w:sz w:val="24"/>
          <w:szCs w:val="24"/>
          <w:lang w:eastAsia="uk-UA"/>
        </w:rPr>
        <w:t>відс</w:t>
      </w:r>
      <w:proofErr w:type="spellEnd"/>
      <w:r w:rsidRPr="00057FA6">
        <w:rPr>
          <w:rFonts w:ascii="Times New Roman" w:eastAsia="Times New Roman" w:hAnsi="Times New Roman" w:cs="Times New Roman"/>
          <w:sz w:val="24"/>
          <w:szCs w:val="24"/>
          <w:lang w:eastAsia="uk-UA"/>
        </w:rPr>
        <w:t xml:space="preserve">; </w:t>
      </w:r>
    </w:p>
    <w:p w:rsidR="00057FA6" w:rsidRPr="00057FA6" w:rsidRDefault="00057FA6" w:rsidP="00057FA6">
      <w:pPr>
        <w:spacing w:after="0" w:line="240" w:lineRule="auto"/>
        <w:ind w:firstLine="567"/>
        <w:jc w:val="both"/>
        <w:rPr>
          <w:rFonts w:ascii="Times New Roman" w:eastAsia="Times New Roman" w:hAnsi="Times New Roman" w:cs="Times New Roman"/>
          <w:sz w:val="24"/>
          <w:szCs w:val="24"/>
          <w:lang w:eastAsia="uk-UA"/>
        </w:rPr>
      </w:pPr>
      <w:r w:rsidRPr="00057FA6">
        <w:rPr>
          <w:rFonts w:ascii="Times New Roman" w:eastAsia="Times New Roman" w:hAnsi="Times New Roman" w:cs="Times New Roman"/>
          <w:sz w:val="24"/>
          <w:szCs w:val="24"/>
          <w:lang w:eastAsia="uk-UA"/>
        </w:rPr>
        <w:t xml:space="preserve">графа 3 або графа 5 х 700 х графа 10/12 – для інших земельних ділянок. </w:t>
      </w:r>
    </w:p>
    <w:p w:rsidR="00E47E7C" w:rsidRDefault="00E47E7C" w:rsidP="00057FA6">
      <w:pPr>
        <w:spacing w:after="0"/>
        <w:ind w:firstLine="567"/>
      </w:pPr>
    </w:p>
    <w:sectPr w:rsidR="00E47E7C" w:rsidSect="00E47E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FA6"/>
    <w:rsid w:val="00057FA6"/>
    <w:rsid w:val="007F27DE"/>
    <w:rsid w:val="00E47E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7C"/>
  </w:style>
  <w:style w:type="paragraph" w:styleId="1">
    <w:name w:val="heading 1"/>
    <w:basedOn w:val="a"/>
    <w:link w:val="10"/>
    <w:uiPriority w:val="9"/>
    <w:qFormat/>
    <w:rsid w:val="00057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FA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57FA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057FA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57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078045">
      <w:bodyDiv w:val="1"/>
      <w:marLeft w:val="0"/>
      <w:marRight w:val="0"/>
      <w:marTop w:val="0"/>
      <w:marBottom w:val="0"/>
      <w:divBdr>
        <w:top w:val="none" w:sz="0" w:space="0" w:color="auto"/>
        <w:left w:val="none" w:sz="0" w:space="0" w:color="auto"/>
        <w:bottom w:val="none" w:sz="0" w:space="0" w:color="auto"/>
        <w:right w:val="none" w:sz="0" w:space="0" w:color="auto"/>
      </w:divBdr>
      <w:divsChild>
        <w:div w:id="574973401">
          <w:marLeft w:val="0"/>
          <w:marRight w:val="0"/>
          <w:marTop w:val="0"/>
          <w:marBottom w:val="0"/>
          <w:divBdr>
            <w:top w:val="none" w:sz="0" w:space="0" w:color="auto"/>
            <w:left w:val="none" w:sz="0" w:space="0" w:color="auto"/>
            <w:bottom w:val="none" w:sz="0" w:space="0" w:color="auto"/>
            <w:right w:val="none" w:sz="0" w:space="0" w:color="auto"/>
          </w:divBdr>
          <w:divsChild>
            <w:div w:id="1415207680">
              <w:marLeft w:val="0"/>
              <w:marRight w:val="0"/>
              <w:marTop w:val="0"/>
              <w:marBottom w:val="0"/>
              <w:divBdr>
                <w:top w:val="none" w:sz="0" w:space="0" w:color="auto"/>
                <w:left w:val="none" w:sz="0" w:space="0" w:color="auto"/>
                <w:bottom w:val="none" w:sz="0" w:space="0" w:color="auto"/>
                <w:right w:val="none" w:sz="0" w:space="0" w:color="auto"/>
              </w:divBdr>
            </w:div>
          </w:divsChild>
        </w:div>
        <w:div w:id="323247605">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sChild>
                <w:div w:id="13652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3206</Words>
  <Characters>1828</Characters>
  <Application>Microsoft Office Word</Application>
  <DocSecurity>0</DocSecurity>
  <Lines>15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2025-07-23T06:28:00Z</dcterms:created>
  <dcterms:modified xsi:type="dcterms:W3CDTF">2025-07-23T06:28:00Z</dcterms:modified>
</cp:coreProperties>
</file>